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1A" w:rsidRPr="00182187" w:rsidRDefault="00232B1A" w:rsidP="00232B1A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182187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10</w:t>
      </w:r>
      <w:r w:rsidR="00832541" w:rsidRPr="00182187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>8</w:t>
      </w:r>
      <w:r w:rsidRPr="00182187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學</w:t>
      </w:r>
      <w:r w:rsidRPr="00182187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>年度</w:t>
      </w:r>
      <w:r w:rsidR="00832541" w:rsidRPr="00182187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博士班</w:t>
      </w:r>
      <w:r w:rsidR="00F25369" w:rsidRPr="00182187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必</w:t>
      </w:r>
      <w:r w:rsidR="00F25369" w:rsidRPr="00182187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>修</w:t>
      </w:r>
      <w:r w:rsidRPr="00182187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>課程</w:t>
      </w:r>
      <w:r w:rsidR="00832541" w:rsidRPr="00182187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表</w:t>
      </w:r>
      <w:r w:rsidR="00832541" w:rsidRPr="00182187">
        <w:rPr>
          <w:rFonts w:ascii="標楷體" w:eastAsia="標楷體" w:hAnsi="標楷體"/>
          <w:b/>
          <w:color w:val="000000" w:themeColor="text1"/>
          <w:sz w:val="36"/>
          <w:szCs w:val="36"/>
        </w:rPr>
        <w:t xml:space="preserve"> </w:t>
      </w:r>
    </w:p>
    <w:p w:rsidR="00FA6209" w:rsidRPr="00C663C5" w:rsidRDefault="00FA6209" w:rsidP="00C663C5">
      <w:pPr>
        <w:spacing w:line="520" w:lineRule="exact"/>
        <w:jc w:val="right"/>
        <w:rPr>
          <w:rFonts w:ascii="標楷體" w:eastAsia="標楷體" w:hAnsi="標楷體"/>
          <w:sz w:val="16"/>
          <w:szCs w:val="16"/>
        </w:rPr>
      </w:pPr>
    </w:p>
    <w:p w:rsidR="00FA6209" w:rsidRPr="00B819DB" w:rsidRDefault="00FA6209" w:rsidP="00FA6209">
      <w:pPr>
        <w:pStyle w:val="a4"/>
        <w:spacing w:line="520" w:lineRule="exact"/>
        <w:ind w:leftChars="0" w:left="1" w:hanging="1"/>
        <w:rPr>
          <w:rFonts w:ascii="標楷體" w:eastAsia="標楷體" w:hAnsi="標楷體"/>
          <w:b/>
          <w:sz w:val="28"/>
          <w:szCs w:val="28"/>
        </w:rPr>
      </w:pPr>
      <w:r w:rsidRPr="00B819DB">
        <w:rPr>
          <w:rFonts w:ascii="標楷體" w:eastAsia="標楷體" w:hAnsi="標楷體" w:hint="eastAsia"/>
          <w:b/>
          <w:sz w:val="28"/>
          <w:szCs w:val="28"/>
        </w:rPr>
        <w:t>▲ 畢</w:t>
      </w:r>
      <w:r w:rsidRPr="00B819DB">
        <w:rPr>
          <w:rFonts w:ascii="標楷體" w:eastAsia="標楷體" w:hAnsi="標楷體"/>
          <w:b/>
          <w:sz w:val="28"/>
          <w:szCs w:val="28"/>
        </w:rPr>
        <w:t>業</w:t>
      </w:r>
      <w:r w:rsidRPr="00B819DB">
        <w:rPr>
          <w:rFonts w:ascii="標楷體" w:eastAsia="標楷體" w:hAnsi="標楷體" w:hint="eastAsia"/>
          <w:b/>
          <w:sz w:val="28"/>
          <w:szCs w:val="28"/>
        </w:rPr>
        <w:t>總學</w:t>
      </w:r>
      <w:r w:rsidRPr="00B819DB">
        <w:rPr>
          <w:rFonts w:ascii="標楷體" w:eastAsia="標楷體" w:hAnsi="標楷體"/>
          <w:b/>
          <w:sz w:val="28"/>
          <w:szCs w:val="28"/>
        </w:rPr>
        <w:t>分：</w:t>
      </w:r>
      <w:r w:rsidR="004500BC">
        <w:rPr>
          <w:rFonts w:ascii="標楷體" w:eastAsia="標楷體" w:hAnsi="標楷體"/>
          <w:b/>
          <w:sz w:val="28"/>
          <w:szCs w:val="28"/>
        </w:rPr>
        <w:t>27</w:t>
      </w:r>
      <w:r w:rsidRPr="00B819DB">
        <w:rPr>
          <w:rFonts w:ascii="標楷體" w:eastAsia="標楷體" w:hAnsi="標楷體" w:hint="eastAsia"/>
          <w:b/>
          <w:sz w:val="28"/>
          <w:szCs w:val="28"/>
        </w:rPr>
        <w:t>學</w:t>
      </w:r>
      <w:r w:rsidRPr="00B819DB">
        <w:rPr>
          <w:rFonts w:ascii="標楷體" w:eastAsia="標楷體" w:hAnsi="標楷體"/>
          <w:b/>
          <w:sz w:val="28"/>
          <w:szCs w:val="28"/>
        </w:rPr>
        <w:t>分</w:t>
      </w:r>
      <w:r w:rsidR="001E64AA">
        <w:rPr>
          <w:rFonts w:ascii="標楷體" w:eastAsia="標楷體" w:hAnsi="標楷體" w:hint="eastAsia"/>
          <w:b/>
          <w:sz w:val="28"/>
          <w:szCs w:val="28"/>
        </w:rPr>
        <w:t xml:space="preserve">                         </w:t>
      </w:r>
      <w:r w:rsidR="001E64AA" w:rsidRPr="00DA2D2F">
        <w:rPr>
          <w:rFonts w:ascii="標楷體" w:eastAsia="標楷體" w:hAnsi="標楷體"/>
          <w:sz w:val="20"/>
          <w:szCs w:val="20"/>
        </w:rPr>
        <w:t xml:space="preserve">109.04.15 </w:t>
      </w:r>
      <w:r w:rsidR="001E64AA" w:rsidRPr="00DA2D2F">
        <w:rPr>
          <w:rFonts w:ascii="標楷體" w:eastAsia="標楷體" w:hAnsi="標楷體" w:hint="eastAsia"/>
          <w:sz w:val="20"/>
          <w:szCs w:val="20"/>
        </w:rPr>
        <w:t>所務</w:t>
      </w:r>
      <w:r w:rsidR="001E64AA" w:rsidRPr="00DA2D2F">
        <w:rPr>
          <w:rFonts w:ascii="標楷體" w:eastAsia="標楷體" w:hAnsi="標楷體"/>
          <w:sz w:val="20"/>
          <w:szCs w:val="20"/>
        </w:rPr>
        <w:t>會</w:t>
      </w:r>
      <w:r w:rsidR="001E64AA" w:rsidRPr="00DA2D2F">
        <w:rPr>
          <w:rFonts w:ascii="標楷體" w:eastAsia="標楷體" w:hAnsi="標楷體" w:hint="eastAsia"/>
          <w:sz w:val="20"/>
          <w:szCs w:val="20"/>
        </w:rPr>
        <w:t>議</w:t>
      </w:r>
      <w:r w:rsidR="001E64AA">
        <w:rPr>
          <w:rFonts w:ascii="標楷體" w:eastAsia="標楷體" w:hAnsi="標楷體" w:hint="eastAsia"/>
          <w:sz w:val="20"/>
          <w:szCs w:val="20"/>
        </w:rPr>
        <w:t>俢</w:t>
      </w:r>
      <w:r w:rsidR="001E64AA">
        <w:rPr>
          <w:rFonts w:ascii="標楷體" w:eastAsia="標楷體" w:hAnsi="標楷體"/>
          <w:sz w:val="20"/>
          <w:szCs w:val="20"/>
        </w:rPr>
        <w:t>正</w:t>
      </w:r>
      <w:r w:rsidR="001E64AA" w:rsidRPr="00DA2D2F">
        <w:rPr>
          <w:rFonts w:ascii="標楷體" w:eastAsia="標楷體" w:hAnsi="標楷體"/>
          <w:sz w:val="20"/>
          <w:szCs w:val="20"/>
        </w:rPr>
        <w:t>通</w:t>
      </w:r>
      <w:r w:rsidR="001E64AA" w:rsidRPr="00DA2D2F">
        <w:rPr>
          <w:rFonts w:ascii="標楷體" w:eastAsia="標楷體" w:hAnsi="標楷體" w:hint="eastAsia"/>
          <w:sz w:val="20"/>
          <w:szCs w:val="20"/>
        </w:rPr>
        <w:t>過</w:t>
      </w:r>
    </w:p>
    <w:p w:rsidR="00010C8D" w:rsidRDefault="00010C8D" w:rsidP="00010C8D">
      <w:pPr>
        <w:pStyle w:val="a4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10C8D">
        <w:rPr>
          <w:rFonts w:ascii="標楷體" w:eastAsia="標楷體" w:hAnsi="標楷體"/>
          <w:b/>
          <w:sz w:val="28"/>
          <w:szCs w:val="28"/>
        </w:rPr>
        <w:t>共</w:t>
      </w:r>
      <w:r w:rsidRPr="00010C8D">
        <w:rPr>
          <w:rFonts w:ascii="標楷體" w:eastAsia="標楷體" w:hAnsi="標楷體" w:hint="eastAsia"/>
          <w:b/>
          <w:sz w:val="28"/>
          <w:szCs w:val="28"/>
        </w:rPr>
        <w:t>同</w:t>
      </w:r>
      <w:r w:rsidRPr="00010C8D">
        <w:rPr>
          <w:rFonts w:ascii="標楷體" w:eastAsia="標楷體" w:hAnsi="標楷體"/>
          <w:b/>
          <w:sz w:val="28"/>
          <w:szCs w:val="28"/>
        </w:rPr>
        <w:t>必修：</w:t>
      </w:r>
    </w:p>
    <w:p w:rsidR="00F446AA" w:rsidRPr="00CD6A51" w:rsidRDefault="00CD6A51" w:rsidP="00BA4E45">
      <w:pPr>
        <w:tabs>
          <w:tab w:val="left" w:pos="426"/>
        </w:tabs>
        <w:spacing w:line="5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.</w:t>
      </w:r>
      <w:r w:rsidR="00F446AA" w:rsidRPr="00CD6A51">
        <w:rPr>
          <w:rFonts w:ascii="標楷體" w:eastAsia="標楷體" w:hAnsi="標楷體" w:hint="eastAsia"/>
          <w:sz w:val="26"/>
          <w:szCs w:val="26"/>
        </w:rPr>
        <w:t>國</w:t>
      </w:r>
      <w:r w:rsidR="00F446AA" w:rsidRPr="00CD6A51">
        <w:rPr>
          <w:rFonts w:ascii="標楷體" w:eastAsia="標楷體" w:hAnsi="標楷體"/>
          <w:sz w:val="26"/>
          <w:szCs w:val="26"/>
        </w:rPr>
        <w:t>家</w:t>
      </w:r>
      <w:r w:rsidR="00F446AA" w:rsidRPr="00CD6A51">
        <w:rPr>
          <w:rFonts w:ascii="標楷體" w:eastAsia="標楷體" w:hAnsi="標楷體" w:hint="eastAsia"/>
          <w:sz w:val="26"/>
          <w:szCs w:val="26"/>
        </w:rPr>
        <w:t>發</w:t>
      </w:r>
      <w:r w:rsidR="00F446AA" w:rsidRPr="00CD6A51">
        <w:rPr>
          <w:rFonts w:ascii="標楷體" w:eastAsia="標楷體" w:hAnsi="標楷體"/>
          <w:sz w:val="26"/>
          <w:szCs w:val="26"/>
        </w:rPr>
        <w:t>展理論專題</w:t>
      </w:r>
      <w:r w:rsidR="00F446AA" w:rsidRPr="00CD6A51">
        <w:rPr>
          <w:rFonts w:ascii="標楷體" w:eastAsia="標楷體" w:hAnsi="標楷體" w:hint="eastAsia"/>
          <w:sz w:val="26"/>
          <w:szCs w:val="26"/>
        </w:rPr>
        <w:t>(3學</w:t>
      </w:r>
      <w:r w:rsidR="00F446AA" w:rsidRPr="00CD6A51">
        <w:rPr>
          <w:rFonts w:ascii="標楷體" w:eastAsia="標楷體" w:hAnsi="標楷體"/>
          <w:sz w:val="26"/>
          <w:szCs w:val="26"/>
        </w:rPr>
        <w:t>分</w:t>
      </w:r>
      <w:r w:rsidR="00F446AA" w:rsidRPr="00CD6A51">
        <w:rPr>
          <w:rFonts w:ascii="標楷體" w:eastAsia="標楷體" w:hAnsi="標楷體" w:hint="eastAsia"/>
          <w:sz w:val="26"/>
          <w:szCs w:val="26"/>
        </w:rPr>
        <w:t>)</w:t>
      </w:r>
      <w:r w:rsidR="006A44B4" w:rsidRPr="00CD6A51">
        <w:rPr>
          <w:rFonts w:ascii="標楷體" w:eastAsia="標楷體" w:hAnsi="標楷體"/>
        </w:rPr>
        <w:t xml:space="preserve"> </w:t>
      </w:r>
    </w:p>
    <w:p w:rsidR="005B01CA" w:rsidRPr="00CD6A51" w:rsidRDefault="00CD6A51" w:rsidP="00BA4E45">
      <w:pPr>
        <w:spacing w:line="520" w:lineRule="exact"/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232B1A" w:rsidRPr="00CD6A51">
        <w:rPr>
          <w:rFonts w:ascii="標楷體" w:eastAsia="標楷體" w:hAnsi="標楷體" w:hint="eastAsia"/>
          <w:sz w:val="26"/>
          <w:szCs w:val="26"/>
        </w:rPr>
        <w:t>社</w:t>
      </w:r>
      <w:r w:rsidR="00232B1A" w:rsidRPr="00CD6A51">
        <w:rPr>
          <w:rFonts w:ascii="標楷體" w:eastAsia="標楷體" w:hAnsi="標楷體"/>
          <w:sz w:val="26"/>
          <w:szCs w:val="26"/>
        </w:rPr>
        <w:t>會科學方法論專題研究</w:t>
      </w:r>
      <w:r w:rsidR="00232B1A" w:rsidRPr="00CD6A51">
        <w:rPr>
          <w:rFonts w:ascii="標楷體" w:eastAsia="標楷體" w:hAnsi="標楷體" w:hint="eastAsia"/>
          <w:sz w:val="26"/>
          <w:szCs w:val="26"/>
        </w:rPr>
        <w:t>(3學</w:t>
      </w:r>
      <w:r w:rsidR="00232B1A" w:rsidRPr="00CD6A51">
        <w:rPr>
          <w:rFonts w:ascii="標楷體" w:eastAsia="標楷體" w:hAnsi="標楷體"/>
          <w:sz w:val="26"/>
          <w:szCs w:val="26"/>
        </w:rPr>
        <w:t>分</w:t>
      </w:r>
      <w:r w:rsidR="00232B1A" w:rsidRPr="00CD6A51">
        <w:rPr>
          <w:rFonts w:ascii="標楷體" w:eastAsia="標楷體" w:hAnsi="標楷體" w:hint="eastAsia"/>
          <w:sz w:val="26"/>
          <w:szCs w:val="26"/>
        </w:rPr>
        <w:t>)</w:t>
      </w:r>
      <w:r w:rsidR="00232B1A" w:rsidRPr="00CD6A51">
        <w:rPr>
          <w:rFonts w:ascii="標楷體" w:eastAsia="標楷體" w:hAnsi="標楷體"/>
          <w:sz w:val="26"/>
          <w:szCs w:val="26"/>
        </w:rPr>
        <w:t xml:space="preserve"> </w:t>
      </w:r>
    </w:p>
    <w:p w:rsidR="00BA4E45" w:rsidRPr="00F708A7" w:rsidRDefault="00BA4E45" w:rsidP="00BA4E45">
      <w:pPr>
        <w:spacing w:line="400" w:lineRule="exact"/>
        <w:ind w:leftChars="200" w:left="480" w:rightChars="-118" w:right="-283"/>
        <w:rPr>
          <w:rFonts w:ascii="標楷體" w:eastAsia="標楷體" w:hAnsi="標楷體"/>
        </w:rPr>
      </w:pPr>
      <w:r w:rsidRPr="00F708A7">
        <w:rPr>
          <w:rFonts w:ascii="標楷體" w:eastAsia="標楷體" w:hAnsi="標楷體" w:hint="eastAsia"/>
          <w:sz w:val="26"/>
          <w:szCs w:val="26"/>
        </w:rPr>
        <w:t>3.</w:t>
      </w:r>
      <w:r w:rsidRPr="00F708A7">
        <w:rPr>
          <w:rFonts w:ascii="標楷體" w:eastAsia="標楷體" w:hAnsi="標楷體" w:hint="eastAsia"/>
        </w:rPr>
        <w:t>「第</w:t>
      </w:r>
      <w:r w:rsidRPr="00F708A7">
        <w:rPr>
          <w:rFonts w:ascii="標楷體" w:eastAsia="標楷體" w:hAnsi="標楷體"/>
        </w:rPr>
        <w:t>二外文」(</w:t>
      </w:r>
      <w:r w:rsidRPr="00F708A7">
        <w:rPr>
          <w:rFonts w:ascii="標楷體" w:eastAsia="標楷體" w:hAnsi="標楷體" w:hint="eastAsia"/>
        </w:rPr>
        <w:t>上、下</w:t>
      </w:r>
      <w:r w:rsidRPr="00F708A7">
        <w:rPr>
          <w:rFonts w:ascii="標楷體" w:eastAsia="標楷體" w:hAnsi="標楷體"/>
        </w:rPr>
        <w:t>兩學期)</w:t>
      </w:r>
      <w:r w:rsidRPr="00F708A7">
        <w:rPr>
          <w:rFonts w:ascii="標楷體" w:eastAsia="標楷體" w:hAnsi="標楷體" w:hint="eastAsia"/>
        </w:rPr>
        <w:t>或「</w:t>
      </w:r>
      <w:r w:rsidRPr="00F708A7">
        <w:rPr>
          <w:rFonts w:ascii="標楷體" w:eastAsia="標楷體" w:hAnsi="標楷體"/>
        </w:rPr>
        <w:t>研</w:t>
      </w:r>
      <w:r w:rsidRPr="00F708A7">
        <w:rPr>
          <w:rFonts w:ascii="標楷體" w:eastAsia="標楷體" w:hAnsi="標楷體" w:hint="eastAsia"/>
        </w:rPr>
        <w:t>究</w:t>
      </w:r>
      <w:r w:rsidRPr="00F708A7">
        <w:rPr>
          <w:rFonts w:ascii="標楷體" w:eastAsia="標楷體" w:hAnsi="標楷體"/>
        </w:rPr>
        <w:t>生</w:t>
      </w:r>
      <w:r w:rsidRPr="00F708A7">
        <w:rPr>
          <w:rFonts w:ascii="標楷體" w:eastAsia="標楷體" w:hAnsi="標楷體" w:hint="eastAsia"/>
        </w:rPr>
        <w:t>線</w:t>
      </w:r>
      <w:r w:rsidRPr="00F708A7">
        <w:rPr>
          <w:rFonts w:ascii="標楷體" w:eastAsia="標楷體" w:hAnsi="標楷體"/>
        </w:rPr>
        <w:t>上英文</w:t>
      </w:r>
      <w:r w:rsidRPr="00F708A7">
        <w:rPr>
          <w:rFonts w:ascii="標楷體" w:eastAsia="標楷體" w:hAnsi="標楷體" w:hint="eastAsia"/>
        </w:rPr>
        <w:t>三</w:t>
      </w:r>
      <w:r w:rsidRPr="00F708A7">
        <w:rPr>
          <w:rFonts w:ascii="標楷體" w:eastAsia="標楷體" w:hAnsi="標楷體"/>
        </w:rPr>
        <w:t>」</w:t>
      </w:r>
      <w:r w:rsidRPr="00F708A7">
        <w:rPr>
          <w:rFonts w:ascii="標楷體" w:eastAsia="標楷體" w:hAnsi="標楷體" w:hint="eastAsia"/>
        </w:rPr>
        <w:t>二</w:t>
      </w:r>
      <w:r w:rsidRPr="00F708A7">
        <w:rPr>
          <w:rFonts w:ascii="標楷體" w:eastAsia="標楷體" w:hAnsi="標楷體"/>
        </w:rPr>
        <w:t>擇一</w:t>
      </w:r>
      <w:r w:rsidRPr="00F708A7">
        <w:rPr>
          <w:rFonts w:ascii="標楷體" w:eastAsia="標楷體" w:hAnsi="標楷體" w:hint="eastAsia"/>
        </w:rPr>
        <w:t xml:space="preserve"> (○學</w:t>
      </w:r>
      <w:r w:rsidRPr="00F708A7">
        <w:rPr>
          <w:rFonts w:ascii="標楷體" w:eastAsia="標楷體" w:hAnsi="標楷體"/>
        </w:rPr>
        <w:t>分</w:t>
      </w:r>
      <w:r w:rsidRPr="00F708A7">
        <w:rPr>
          <w:rFonts w:ascii="標楷體" w:eastAsia="標楷體" w:hAnsi="標楷體" w:hint="eastAsia"/>
        </w:rPr>
        <w:t>)【</w:t>
      </w:r>
      <w:r w:rsidRPr="005D1136">
        <w:rPr>
          <w:rFonts w:ascii="標楷體" w:eastAsia="標楷體" w:hAnsi="標楷體" w:hint="eastAsia"/>
        </w:rPr>
        <w:t>註</w:t>
      </w:r>
      <w:r w:rsidR="005D1136" w:rsidRPr="005D1136">
        <w:rPr>
          <w:rFonts w:ascii="標楷體" w:eastAsia="標楷體" w:hAnsi="標楷體" w:hint="eastAsia"/>
        </w:rPr>
        <w:t>1</w:t>
      </w:r>
      <w:r w:rsidRPr="00F708A7">
        <w:rPr>
          <w:rFonts w:ascii="標楷體" w:eastAsia="標楷體" w:hAnsi="標楷體" w:hint="eastAsia"/>
        </w:rPr>
        <w:t>】</w:t>
      </w:r>
    </w:p>
    <w:p w:rsidR="00CD6A51" w:rsidRPr="00CD6A51" w:rsidRDefault="00CD6A51" w:rsidP="00BA4E45">
      <w:pPr>
        <w:tabs>
          <w:tab w:val="left" w:pos="426"/>
        </w:tabs>
        <w:spacing w:line="520" w:lineRule="exact"/>
        <w:ind w:leftChars="200" w:left="480" w:rightChars="-99" w:right="-2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4.</w:t>
      </w:r>
      <w:r w:rsidRPr="00CD6A51">
        <w:rPr>
          <w:rFonts w:ascii="標楷體" w:eastAsia="標楷體" w:hAnsi="標楷體"/>
          <w:sz w:val="26"/>
          <w:szCs w:val="26"/>
        </w:rPr>
        <w:t>108</w:t>
      </w:r>
      <w:r w:rsidRPr="00CD6A51">
        <w:rPr>
          <w:rFonts w:ascii="標楷體" w:eastAsia="標楷體" w:hAnsi="標楷體" w:hint="eastAsia"/>
          <w:sz w:val="26"/>
          <w:szCs w:val="26"/>
        </w:rPr>
        <w:t>學年度結束前俢習完成至少六小時學術倫理課程</w:t>
      </w:r>
    </w:p>
    <w:p w:rsidR="00CD6A51" w:rsidRPr="001E64AA" w:rsidRDefault="001E64AA" w:rsidP="001E64AA">
      <w:pPr>
        <w:pStyle w:val="a4"/>
        <w:widowControl/>
        <w:numPr>
          <w:ilvl w:val="0"/>
          <w:numId w:val="2"/>
        </w:numPr>
        <w:spacing w:beforeLines="50" w:before="180" w:line="400" w:lineRule="exact"/>
        <w:ind w:leftChars="0" w:rightChars="117" w:right="281"/>
        <w:rPr>
          <w:rFonts w:ascii="標楷體" w:eastAsia="標楷體" w:hAnsi="標楷體"/>
          <w:b/>
          <w:sz w:val="28"/>
          <w:szCs w:val="28"/>
        </w:rPr>
      </w:pPr>
      <w:r w:rsidRPr="001E64AA">
        <w:rPr>
          <w:rFonts w:ascii="標楷體" w:eastAsia="標楷體" w:hAnsi="標楷體" w:hint="eastAsia"/>
          <w:b/>
          <w:sz w:val="28"/>
          <w:szCs w:val="28"/>
        </w:rPr>
        <w:t>必修本校外所碩士班以上課程1門(2~3學分)，修習超過8學分以上課程不列入畢業學分。</w:t>
      </w:r>
    </w:p>
    <w:p w:rsidR="00010C8D" w:rsidRPr="00975589" w:rsidRDefault="00467CC0" w:rsidP="004219E0">
      <w:pPr>
        <w:pStyle w:val="a4"/>
        <w:widowControl/>
        <w:numPr>
          <w:ilvl w:val="0"/>
          <w:numId w:val="2"/>
        </w:numPr>
        <w:spacing w:beforeLines="50" w:before="180" w:afterLines="100" w:after="360" w:line="520" w:lineRule="exact"/>
        <w:ind w:leftChars="0"/>
        <w:rPr>
          <w:rFonts w:ascii="標楷體" w:eastAsia="標楷體" w:hAnsi="標楷體" w:cs="Tahoma"/>
          <w:b/>
          <w:color w:val="000000" w:themeColor="text1"/>
          <w:kern w:val="0"/>
          <w:sz w:val="28"/>
          <w:szCs w:val="28"/>
        </w:rPr>
      </w:pPr>
      <w:r w:rsidRPr="00975589">
        <w:rPr>
          <w:rFonts w:ascii="標楷體" w:eastAsia="標楷體" w:hAnsi="標楷體" w:cs="Tahoma"/>
          <w:b/>
          <w:color w:val="000000" w:themeColor="text1"/>
          <w:kern w:val="0"/>
          <w:sz w:val="28"/>
          <w:szCs w:val="28"/>
        </w:rPr>
        <w:t>必選</w:t>
      </w:r>
      <w:r w:rsidR="00441A68">
        <w:rPr>
          <w:rFonts w:ascii="標楷體" w:eastAsia="標楷體" w:hAnsi="標楷體" w:cs="Tahoma" w:hint="eastAsia"/>
          <w:b/>
          <w:color w:val="000000" w:themeColor="text1"/>
          <w:kern w:val="0"/>
          <w:sz w:val="28"/>
          <w:szCs w:val="28"/>
        </w:rPr>
        <w:t>主</w:t>
      </w:r>
      <w:r w:rsidR="00441A68">
        <w:rPr>
          <w:rFonts w:ascii="標楷體" w:eastAsia="標楷體" w:hAnsi="標楷體" w:cs="Tahoma"/>
          <w:b/>
          <w:color w:val="000000" w:themeColor="text1"/>
          <w:kern w:val="0"/>
          <w:sz w:val="28"/>
          <w:szCs w:val="28"/>
        </w:rPr>
        <w:t>修</w:t>
      </w:r>
      <w:r w:rsidR="0094600A" w:rsidRPr="00975589">
        <w:rPr>
          <w:rFonts w:ascii="標楷體" w:eastAsia="標楷體" w:hAnsi="標楷體" w:cs="Tahoma"/>
          <w:b/>
          <w:color w:val="000000" w:themeColor="text1"/>
          <w:kern w:val="0"/>
          <w:sz w:val="28"/>
          <w:szCs w:val="28"/>
        </w:rPr>
        <w:t>學組</w:t>
      </w:r>
      <w:r w:rsidR="00441A68">
        <w:rPr>
          <w:rFonts w:ascii="標楷體" w:eastAsia="標楷體" w:hAnsi="標楷體" w:cs="Tahoma" w:hint="eastAsia"/>
          <w:b/>
          <w:color w:val="000000" w:themeColor="text1"/>
          <w:kern w:val="0"/>
          <w:sz w:val="28"/>
          <w:szCs w:val="28"/>
        </w:rPr>
        <w:t>課</w:t>
      </w:r>
      <w:r w:rsidR="00441A68">
        <w:rPr>
          <w:rFonts w:ascii="標楷體" w:eastAsia="標楷體" w:hAnsi="標楷體" w:cs="Tahoma"/>
          <w:b/>
          <w:color w:val="000000" w:themeColor="text1"/>
          <w:kern w:val="0"/>
          <w:sz w:val="28"/>
          <w:szCs w:val="28"/>
        </w:rPr>
        <w:t>程</w:t>
      </w:r>
      <w:r w:rsidR="00CD6A51">
        <w:rPr>
          <w:rFonts w:ascii="標楷體" w:eastAsia="標楷體" w:hAnsi="標楷體" w:cs="Tahoma" w:hint="eastAsia"/>
          <w:b/>
          <w:color w:val="000000" w:themeColor="text1"/>
          <w:kern w:val="0"/>
          <w:sz w:val="28"/>
          <w:szCs w:val="28"/>
        </w:rPr>
        <w:t>二</w:t>
      </w:r>
      <w:r w:rsidR="00232B1A" w:rsidRPr="00975589">
        <w:rPr>
          <w:rFonts w:ascii="標楷體" w:eastAsia="標楷體" w:hAnsi="標楷體" w:cs="Tahoma" w:hint="eastAsia"/>
          <w:b/>
          <w:color w:val="000000" w:themeColor="text1"/>
          <w:kern w:val="0"/>
          <w:sz w:val="28"/>
          <w:szCs w:val="28"/>
        </w:rPr>
        <w:t>門</w:t>
      </w:r>
      <w:r w:rsidR="00827D00" w:rsidRPr="00975589">
        <w:rPr>
          <w:rFonts w:ascii="標楷體" w:eastAsia="標楷體" w:hAnsi="標楷體" w:cs="Tahoma" w:hint="eastAsia"/>
          <w:b/>
          <w:color w:val="000000" w:themeColor="text1"/>
          <w:kern w:val="0"/>
          <w:sz w:val="28"/>
          <w:szCs w:val="28"/>
        </w:rPr>
        <w:t xml:space="preserve"> (6學</w:t>
      </w:r>
      <w:r w:rsidR="00827D00" w:rsidRPr="00975589">
        <w:rPr>
          <w:rFonts w:ascii="標楷體" w:eastAsia="標楷體" w:hAnsi="標楷體" w:cs="Tahoma"/>
          <w:b/>
          <w:color w:val="000000" w:themeColor="text1"/>
          <w:kern w:val="0"/>
          <w:sz w:val="28"/>
          <w:szCs w:val="28"/>
        </w:rPr>
        <w:t>分</w:t>
      </w:r>
      <w:r w:rsidR="00827D00" w:rsidRPr="00975589">
        <w:rPr>
          <w:rFonts w:ascii="標楷體" w:eastAsia="標楷體" w:hAnsi="標楷體" w:cs="Tahoma" w:hint="eastAsia"/>
          <w:b/>
          <w:color w:val="000000" w:themeColor="text1"/>
          <w:kern w:val="0"/>
          <w:sz w:val="28"/>
          <w:szCs w:val="28"/>
        </w:rPr>
        <w:t>)</w:t>
      </w:r>
      <w:r w:rsidR="00975589" w:rsidRPr="00975589">
        <w:rPr>
          <w:rFonts w:ascii="標楷體" w:eastAsia="標楷體" w:hAnsi="標楷體" w:cs="Tahoma" w:hint="eastAsia"/>
          <w:b/>
          <w:color w:val="000000" w:themeColor="text1"/>
          <w:kern w:val="0"/>
          <w:sz w:val="28"/>
          <w:szCs w:val="28"/>
        </w:rPr>
        <w:t>、</w:t>
      </w:r>
      <w:r w:rsidR="00975589" w:rsidRPr="00975589">
        <w:rPr>
          <w:rFonts w:ascii="標楷體" w:eastAsia="標楷體" w:hAnsi="標楷體"/>
          <w:b/>
          <w:sz w:val="28"/>
          <w:szCs w:val="28"/>
        </w:rPr>
        <w:t>跨</w:t>
      </w:r>
      <w:r>
        <w:rPr>
          <w:rFonts w:ascii="標楷體" w:eastAsia="標楷體" w:hAnsi="標楷體" w:hint="eastAsia"/>
          <w:b/>
          <w:sz w:val="28"/>
          <w:szCs w:val="28"/>
        </w:rPr>
        <w:t>學</w:t>
      </w:r>
      <w:r w:rsidR="00975589" w:rsidRPr="00975589">
        <w:rPr>
          <w:rFonts w:ascii="標楷體" w:eastAsia="標楷體" w:hAnsi="標楷體"/>
          <w:b/>
          <w:sz w:val="28"/>
          <w:szCs w:val="28"/>
        </w:rPr>
        <w:t>組課程一門</w:t>
      </w:r>
      <w:r w:rsidR="00975589" w:rsidRPr="00975589">
        <w:rPr>
          <w:rFonts w:ascii="標楷體" w:eastAsia="標楷體" w:hAnsi="標楷體" w:hint="eastAsia"/>
          <w:b/>
          <w:sz w:val="28"/>
          <w:szCs w:val="28"/>
        </w:rPr>
        <w:t xml:space="preserve"> (3學</w:t>
      </w:r>
      <w:r w:rsidR="00975589" w:rsidRPr="00975589">
        <w:rPr>
          <w:rFonts w:ascii="標楷體" w:eastAsia="標楷體" w:hAnsi="標楷體"/>
          <w:b/>
          <w:sz w:val="28"/>
          <w:szCs w:val="28"/>
        </w:rPr>
        <w:t>分</w:t>
      </w:r>
      <w:r w:rsidR="00975589" w:rsidRPr="00975589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32541" w:rsidRPr="004F6A8C" w:rsidTr="00BB7547">
        <w:trPr>
          <w:trHeight w:val="540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832541" w:rsidRPr="00832541" w:rsidRDefault="00832541" w:rsidP="00467CC0">
            <w:pPr>
              <w:spacing w:line="360" w:lineRule="exact"/>
              <w:ind w:rightChars="-80" w:right="-19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2541">
              <w:rPr>
                <w:rFonts w:ascii="標楷體" w:eastAsia="標楷體" w:hAnsi="標楷體" w:hint="eastAsia"/>
                <w:b/>
                <w:sz w:val="28"/>
                <w:szCs w:val="28"/>
              </w:rPr>
              <w:t>全球</w:t>
            </w:r>
            <w:r w:rsidRPr="00832541">
              <w:rPr>
                <w:rFonts w:ascii="標楷體" w:eastAsia="標楷體" w:hAnsi="標楷體"/>
                <w:b/>
                <w:sz w:val="28"/>
                <w:szCs w:val="28"/>
              </w:rPr>
              <w:t>化與科技治理</w:t>
            </w:r>
            <w:r w:rsidR="00BB754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BB7547">
              <w:rPr>
                <w:rFonts w:ascii="標楷體" w:eastAsia="標楷體" w:hAnsi="標楷體"/>
                <w:b/>
                <w:sz w:val="28"/>
                <w:szCs w:val="28"/>
              </w:rPr>
              <w:t>組</w:t>
            </w:r>
          </w:p>
        </w:tc>
      </w:tr>
      <w:tr w:rsidR="002C3A65" w:rsidTr="008C6A69">
        <w:trPr>
          <w:trHeight w:val="2002"/>
        </w:trPr>
        <w:tc>
          <w:tcPr>
            <w:tcW w:w="9072" w:type="dxa"/>
          </w:tcPr>
          <w:p w:rsidR="00A16937" w:rsidRPr="002C3A65" w:rsidRDefault="00A16937" w:rsidP="00A16937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2C3A65">
              <w:rPr>
                <w:rFonts w:ascii="標楷體" w:eastAsia="標楷體" w:hAnsi="標楷體" w:hint="eastAsia"/>
              </w:rPr>
              <w:t>全</w:t>
            </w:r>
            <w:r w:rsidRPr="002C3A65">
              <w:rPr>
                <w:rFonts w:ascii="標楷體" w:eastAsia="標楷體" w:hAnsi="標楷體"/>
              </w:rPr>
              <w:t>球化風險治理專題</w:t>
            </w:r>
          </w:p>
          <w:p w:rsidR="00A16937" w:rsidRDefault="00A16937" w:rsidP="00A16937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>
              <w:rPr>
                <w:rFonts w:ascii="標楷體" w:eastAsia="標楷體" w:hAnsi="標楷體"/>
              </w:rPr>
              <w:t>濟全球化專題</w:t>
            </w:r>
          </w:p>
          <w:p w:rsidR="00A16937" w:rsidRDefault="00A16937" w:rsidP="00A16937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</w:t>
            </w:r>
            <w:r>
              <w:rPr>
                <w:rFonts w:ascii="標楷體" w:eastAsia="標楷體" w:hAnsi="標楷體"/>
              </w:rPr>
              <w:t>球衛生風險的法</w:t>
            </w:r>
            <w:r>
              <w:rPr>
                <w:rFonts w:ascii="標楷體" w:eastAsia="標楷體" w:hAnsi="標楷體" w:hint="eastAsia"/>
              </w:rPr>
              <w:t>律</w:t>
            </w:r>
            <w:r>
              <w:rPr>
                <w:rFonts w:ascii="標楷體" w:eastAsia="標楷體" w:hAnsi="標楷體"/>
              </w:rPr>
              <w:t>治理</w:t>
            </w:r>
            <w:r>
              <w:rPr>
                <w:rFonts w:ascii="標楷體" w:eastAsia="標楷體" w:hAnsi="標楷體" w:hint="eastAsia"/>
              </w:rPr>
              <w:t>專</w:t>
            </w:r>
            <w:r>
              <w:rPr>
                <w:rFonts w:ascii="標楷體" w:eastAsia="標楷體" w:hAnsi="標楷體"/>
              </w:rPr>
              <w:t>題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A16937" w:rsidRPr="00256C8A" w:rsidRDefault="00A16937" w:rsidP="00A16937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256C8A">
              <w:rPr>
                <w:rFonts w:ascii="標楷體" w:eastAsia="標楷體" w:hAnsi="標楷體" w:hint="eastAsia"/>
              </w:rPr>
              <w:t>科技與轉型治理專題</w:t>
            </w:r>
          </w:p>
          <w:p w:rsidR="00A16937" w:rsidRPr="00256C8A" w:rsidRDefault="00A16937" w:rsidP="00A16937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256C8A">
              <w:rPr>
                <w:rFonts w:ascii="標楷體" w:eastAsia="標楷體" w:hAnsi="標楷體" w:hint="eastAsia"/>
              </w:rPr>
              <w:t>進</w:t>
            </w:r>
            <w:r w:rsidRPr="00256C8A">
              <w:rPr>
                <w:rFonts w:ascii="標楷體" w:eastAsia="標楷體" w:hAnsi="標楷體"/>
              </w:rPr>
              <w:t>階量化分析專</w:t>
            </w:r>
            <w:r w:rsidRPr="00256C8A">
              <w:rPr>
                <w:rFonts w:ascii="標楷體" w:eastAsia="標楷體" w:hAnsi="標楷體" w:hint="eastAsia"/>
              </w:rPr>
              <w:t>題</w:t>
            </w:r>
          </w:p>
          <w:p w:rsidR="002C3A65" w:rsidRPr="002C3A65" w:rsidRDefault="00A16937" w:rsidP="00A16937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256C8A">
              <w:rPr>
                <w:rFonts w:ascii="標楷體" w:eastAsia="標楷體" w:hAnsi="標楷體" w:hint="eastAsia"/>
              </w:rPr>
              <w:t>科技與人權專題</w:t>
            </w:r>
          </w:p>
        </w:tc>
      </w:tr>
      <w:tr w:rsidR="00832541" w:rsidRPr="00832541" w:rsidTr="00BB7547">
        <w:trPr>
          <w:trHeight w:val="590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832541" w:rsidRPr="00832541" w:rsidRDefault="00832541" w:rsidP="00467CC0">
            <w:pPr>
              <w:spacing w:line="360" w:lineRule="exact"/>
              <w:ind w:rightChars="-80" w:right="-19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2541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 w:rsidRPr="00832541">
              <w:rPr>
                <w:rFonts w:ascii="標楷體" w:eastAsia="標楷體" w:hAnsi="標楷體"/>
                <w:b/>
                <w:sz w:val="28"/>
                <w:szCs w:val="28"/>
              </w:rPr>
              <w:t>國大陸與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東亞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研究</w:t>
            </w:r>
            <w:r w:rsidR="00BB754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BB7547">
              <w:rPr>
                <w:rFonts w:ascii="標楷體" w:eastAsia="標楷體" w:hAnsi="標楷體"/>
                <w:b/>
                <w:sz w:val="28"/>
                <w:szCs w:val="28"/>
              </w:rPr>
              <w:t>組</w:t>
            </w:r>
          </w:p>
        </w:tc>
      </w:tr>
      <w:tr w:rsidR="00A16937" w:rsidTr="00A16937">
        <w:trPr>
          <w:trHeight w:val="1621"/>
        </w:trPr>
        <w:tc>
          <w:tcPr>
            <w:tcW w:w="9072" w:type="dxa"/>
          </w:tcPr>
          <w:p w:rsidR="00A16937" w:rsidRPr="00206BA3" w:rsidRDefault="00A16937" w:rsidP="00A16937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eastAsia"/>
              </w:rPr>
            </w:pPr>
            <w:r w:rsidRPr="00206BA3">
              <w:rPr>
                <w:rFonts w:ascii="標楷體" w:eastAsia="標楷體" w:hAnsi="標楷體" w:hint="eastAsia"/>
              </w:rPr>
              <w:t>中國大陸社會變遷專題</w:t>
            </w:r>
          </w:p>
          <w:p w:rsidR="00A16937" w:rsidRPr="00206BA3" w:rsidRDefault="00A16937" w:rsidP="00A16937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eastAsia"/>
              </w:rPr>
            </w:pPr>
            <w:r w:rsidRPr="00206BA3">
              <w:rPr>
                <w:rFonts w:ascii="標楷體" w:eastAsia="標楷體" w:hAnsi="標楷體" w:hint="eastAsia"/>
              </w:rPr>
              <w:t>比較政治與中國大陸研究專題</w:t>
            </w:r>
          </w:p>
          <w:p w:rsidR="00A16937" w:rsidRPr="00206BA3" w:rsidRDefault="00A16937" w:rsidP="00A16937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eastAsia"/>
              </w:rPr>
            </w:pPr>
            <w:r w:rsidRPr="00206BA3">
              <w:rPr>
                <w:rFonts w:ascii="標楷體" w:eastAsia="標楷體" w:hAnsi="標楷體" w:hint="eastAsia"/>
              </w:rPr>
              <w:t>中國科技、政治與社會專題</w:t>
            </w:r>
          </w:p>
          <w:p w:rsidR="00A16937" w:rsidRPr="00832541" w:rsidRDefault="00A16937" w:rsidP="00A16937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206BA3">
              <w:rPr>
                <w:rFonts w:ascii="標楷體" w:eastAsia="標楷體" w:hAnsi="標楷體" w:hint="eastAsia"/>
              </w:rPr>
              <w:t>近代中日思想比較</w:t>
            </w:r>
            <w:bookmarkStart w:id="0" w:name="_GoBack"/>
            <w:bookmarkEnd w:id="0"/>
          </w:p>
        </w:tc>
      </w:tr>
    </w:tbl>
    <w:p w:rsidR="00182187" w:rsidRDefault="00182187" w:rsidP="001E65C0">
      <w:pPr>
        <w:widowControl/>
        <w:spacing w:line="400" w:lineRule="exact"/>
        <w:ind w:leftChars="-118" w:hangingChars="101" w:hanging="283"/>
        <w:rPr>
          <w:rFonts w:ascii="標楷體" w:eastAsia="標楷體" w:hAnsi="標楷體"/>
          <w:b/>
          <w:sz w:val="28"/>
          <w:szCs w:val="28"/>
        </w:rPr>
      </w:pPr>
    </w:p>
    <w:p w:rsidR="001E65C0" w:rsidRPr="00EF7048" w:rsidRDefault="001E65C0" w:rsidP="001E65C0">
      <w:pPr>
        <w:widowControl/>
        <w:spacing w:line="400" w:lineRule="exact"/>
        <w:ind w:leftChars="-118" w:hangingChars="101" w:hanging="283"/>
        <w:rPr>
          <w:rFonts w:ascii="標楷體" w:eastAsia="標楷體" w:hAnsi="標楷體"/>
          <w:b/>
          <w:sz w:val="28"/>
          <w:szCs w:val="28"/>
        </w:rPr>
      </w:pPr>
      <w:r w:rsidRPr="00EF7048">
        <w:rPr>
          <w:rFonts w:ascii="標楷體" w:eastAsia="標楷體" w:hAnsi="標楷體" w:hint="eastAsia"/>
          <w:b/>
          <w:sz w:val="28"/>
          <w:szCs w:val="28"/>
        </w:rPr>
        <w:t>備</w:t>
      </w:r>
      <w:r w:rsidRPr="00EF7048">
        <w:rPr>
          <w:rFonts w:ascii="標楷體" w:eastAsia="標楷體" w:hAnsi="標楷體"/>
          <w:b/>
          <w:sz w:val="28"/>
          <w:szCs w:val="28"/>
        </w:rPr>
        <w:t>註：</w:t>
      </w:r>
    </w:p>
    <w:p w:rsidR="00BA4E45" w:rsidRPr="00F708A7" w:rsidRDefault="00BA4E45" w:rsidP="00BA4E45">
      <w:pPr>
        <w:pStyle w:val="a4"/>
        <w:widowControl/>
        <w:numPr>
          <w:ilvl w:val="0"/>
          <w:numId w:val="17"/>
        </w:numPr>
        <w:spacing w:line="240" w:lineRule="exact"/>
        <w:ind w:leftChars="0"/>
        <w:jc w:val="both"/>
        <w:rPr>
          <w:rFonts w:ascii="標楷體" w:eastAsia="標楷體" w:hAnsi="標楷體"/>
        </w:rPr>
      </w:pPr>
      <w:r w:rsidRPr="00F708A7">
        <w:rPr>
          <w:rFonts w:ascii="標楷體" w:eastAsia="標楷體" w:hAnsi="標楷體" w:hint="eastAsia"/>
          <w:b/>
        </w:rPr>
        <w:t>「第</w:t>
      </w:r>
      <w:r w:rsidRPr="00F708A7">
        <w:rPr>
          <w:rFonts w:ascii="標楷體" w:eastAsia="標楷體" w:hAnsi="標楷體"/>
          <w:b/>
        </w:rPr>
        <w:t>二</w:t>
      </w:r>
      <w:r w:rsidRPr="00F708A7">
        <w:rPr>
          <w:rFonts w:ascii="標楷體" w:eastAsia="標楷體" w:hAnsi="標楷體" w:hint="eastAsia"/>
          <w:b/>
        </w:rPr>
        <w:t>外</w:t>
      </w:r>
      <w:r w:rsidRPr="00F708A7">
        <w:rPr>
          <w:rFonts w:ascii="標楷體" w:eastAsia="標楷體" w:hAnsi="標楷體"/>
          <w:b/>
        </w:rPr>
        <w:t>文</w:t>
      </w:r>
      <w:r w:rsidRPr="00F708A7">
        <w:rPr>
          <w:rFonts w:ascii="標楷體" w:eastAsia="標楷體" w:hAnsi="標楷體" w:hint="eastAsia"/>
        </w:rPr>
        <w:t>」：需</w:t>
      </w:r>
      <w:r w:rsidRPr="00F708A7">
        <w:rPr>
          <w:rFonts w:ascii="標楷體" w:eastAsia="標楷體" w:hAnsi="標楷體"/>
        </w:rPr>
        <w:t>修習</w:t>
      </w:r>
      <w:r w:rsidRPr="00F708A7">
        <w:rPr>
          <w:rFonts w:ascii="標楷體" w:eastAsia="標楷體" w:hAnsi="標楷體" w:hint="eastAsia"/>
        </w:rPr>
        <w:t>本</w:t>
      </w:r>
      <w:r w:rsidRPr="00F708A7">
        <w:rPr>
          <w:rFonts w:ascii="標楷體" w:eastAsia="標楷體" w:hAnsi="標楷體"/>
        </w:rPr>
        <w:t>校</w:t>
      </w:r>
      <w:r w:rsidRPr="00F708A7">
        <w:rPr>
          <w:rFonts w:ascii="標楷體" w:eastAsia="標楷體" w:hAnsi="標楷體" w:hint="eastAsia"/>
        </w:rPr>
        <w:t>開授</w:t>
      </w:r>
      <w:r w:rsidRPr="00F708A7">
        <w:rPr>
          <w:rFonts w:ascii="標楷體" w:eastAsia="標楷體" w:hAnsi="標楷體" w:hint="eastAsia"/>
          <w:b/>
          <w:u w:val="single"/>
        </w:rPr>
        <w:t>同</w:t>
      </w:r>
      <w:r w:rsidRPr="00F708A7">
        <w:rPr>
          <w:rFonts w:ascii="標楷體" w:eastAsia="標楷體" w:hAnsi="標楷體"/>
          <w:b/>
          <w:u w:val="single"/>
        </w:rPr>
        <w:t>一種</w:t>
      </w:r>
      <w:r w:rsidRPr="00F708A7">
        <w:rPr>
          <w:rFonts w:ascii="標楷體" w:eastAsia="標楷體" w:hAnsi="標楷體" w:hint="eastAsia"/>
          <w:b/>
          <w:u w:val="single"/>
        </w:rPr>
        <w:t>語</w:t>
      </w:r>
      <w:r w:rsidRPr="00F708A7">
        <w:rPr>
          <w:rFonts w:ascii="標楷體" w:eastAsia="標楷體" w:hAnsi="標楷體"/>
          <w:b/>
          <w:u w:val="single"/>
        </w:rPr>
        <w:t>文</w:t>
      </w:r>
      <w:r w:rsidRPr="00F708A7">
        <w:rPr>
          <w:rFonts w:ascii="標楷體" w:eastAsia="標楷體" w:hAnsi="標楷體" w:hint="eastAsia"/>
        </w:rPr>
        <w:t>上、</w:t>
      </w:r>
      <w:r w:rsidRPr="00F708A7">
        <w:rPr>
          <w:rFonts w:ascii="標楷體" w:eastAsia="標楷體" w:hAnsi="標楷體"/>
        </w:rPr>
        <w:t>下</w:t>
      </w:r>
      <w:r w:rsidRPr="00F708A7">
        <w:rPr>
          <w:rFonts w:ascii="標楷體" w:eastAsia="標楷體" w:hAnsi="標楷體" w:hint="eastAsia"/>
        </w:rPr>
        <w:t>兩</w:t>
      </w:r>
      <w:r w:rsidRPr="00F708A7">
        <w:rPr>
          <w:rFonts w:ascii="標楷體" w:eastAsia="標楷體" w:hAnsi="標楷體"/>
        </w:rPr>
        <w:t>學期共六學</w:t>
      </w:r>
      <w:r w:rsidRPr="00F708A7">
        <w:rPr>
          <w:rFonts w:ascii="標楷體" w:eastAsia="標楷體" w:hAnsi="標楷體" w:hint="eastAsia"/>
        </w:rPr>
        <w:t>分課程(語</w:t>
      </w:r>
      <w:r w:rsidRPr="00F708A7">
        <w:rPr>
          <w:rFonts w:ascii="標楷體" w:eastAsia="標楷體" w:hAnsi="標楷體"/>
        </w:rPr>
        <w:t>文</w:t>
      </w:r>
      <w:r w:rsidRPr="00F708A7">
        <w:rPr>
          <w:rFonts w:ascii="標楷體" w:eastAsia="標楷體" w:hAnsi="標楷體" w:hint="eastAsia"/>
        </w:rPr>
        <w:t>課</w:t>
      </w:r>
      <w:r w:rsidRPr="00F708A7">
        <w:rPr>
          <w:rFonts w:ascii="標楷體" w:eastAsia="標楷體" w:hAnsi="標楷體"/>
        </w:rPr>
        <w:t>程</w:t>
      </w:r>
      <w:r w:rsidRPr="00F708A7">
        <w:rPr>
          <w:rFonts w:ascii="標楷體" w:eastAsia="標楷體" w:hAnsi="標楷體" w:hint="eastAsia"/>
        </w:rPr>
        <w:t>不</w:t>
      </w:r>
      <w:r w:rsidRPr="00F708A7">
        <w:rPr>
          <w:rFonts w:ascii="標楷體" w:eastAsia="標楷體" w:hAnsi="標楷體"/>
        </w:rPr>
        <w:t>計入</w:t>
      </w:r>
      <w:r w:rsidRPr="00F708A7">
        <w:rPr>
          <w:rFonts w:ascii="標楷體" w:eastAsia="標楷體" w:hAnsi="標楷體" w:hint="eastAsia"/>
        </w:rPr>
        <w:t>畢</w:t>
      </w:r>
      <w:r w:rsidRPr="00F708A7">
        <w:rPr>
          <w:rFonts w:ascii="標楷體" w:eastAsia="標楷體" w:hAnsi="標楷體"/>
        </w:rPr>
        <w:t>業學分</w:t>
      </w:r>
      <w:r w:rsidRPr="00F708A7">
        <w:rPr>
          <w:rFonts w:ascii="標楷體" w:eastAsia="標楷體" w:hAnsi="標楷體" w:hint="eastAsia"/>
        </w:rPr>
        <w:t>；</w:t>
      </w:r>
      <w:r w:rsidRPr="00F708A7">
        <w:rPr>
          <w:rFonts w:ascii="標楷體" w:eastAsia="標楷體" w:hAnsi="標楷體"/>
        </w:rPr>
        <w:t>大學</w:t>
      </w:r>
      <w:r w:rsidRPr="00F708A7">
        <w:rPr>
          <w:rFonts w:ascii="標楷體" w:eastAsia="標楷體" w:hAnsi="標楷體" w:hint="eastAsia"/>
        </w:rPr>
        <w:t>俢</w:t>
      </w:r>
      <w:r w:rsidRPr="00F708A7">
        <w:rPr>
          <w:rFonts w:ascii="標楷體" w:eastAsia="標楷體" w:hAnsi="標楷體"/>
        </w:rPr>
        <w:t>畢可</w:t>
      </w:r>
      <w:r w:rsidRPr="00F708A7">
        <w:rPr>
          <w:rFonts w:ascii="標楷體" w:eastAsia="標楷體" w:hAnsi="標楷體" w:hint="eastAsia"/>
        </w:rPr>
        <w:t>申請學</w:t>
      </w:r>
      <w:r w:rsidRPr="00F708A7">
        <w:rPr>
          <w:rFonts w:ascii="標楷體" w:eastAsia="標楷體" w:hAnsi="標楷體"/>
        </w:rPr>
        <w:t>分抵</w:t>
      </w:r>
      <w:r w:rsidRPr="00F708A7">
        <w:rPr>
          <w:rFonts w:ascii="標楷體" w:eastAsia="標楷體" w:hAnsi="標楷體" w:hint="eastAsia"/>
        </w:rPr>
        <w:t>免，</w:t>
      </w:r>
      <w:r w:rsidRPr="00F708A7">
        <w:rPr>
          <w:rFonts w:ascii="標楷體" w:eastAsia="標楷體" w:hAnsi="標楷體"/>
        </w:rPr>
        <w:t>請參閱本校</w:t>
      </w:r>
      <w:r w:rsidRPr="00F708A7">
        <w:rPr>
          <w:rFonts w:ascii="標楷體" w:eastAsia="標楷體" w:hAnsi="標楷體" w:hint="eastAsia"/>
        </w:rPr>
        <w:t>外文領域選課注意事項)。</w:t>
      </w:r>
    </w:p>
    <w:p w:rsidR="00BA4E45" w:rsidRPr="00F708A7" w:rsidRDefault="00BA4E45" w:rsidP="00BA4E45">
      <w:pPr>
        <w:pStyle w:val="a4"/>
        <w:widowControl/>
        <w:spacing w:beforeLines="20" w:before="72" w:afterLines="20" w:after="72" w:line="240" w:lineRule="exact"/>
        <w:ind w:leftChars="0" w:left="77" w:rightChars="58" w:right="139"/>
        <w:jc w:val="both"/>
        <w:rPr>
          <w:rFonts w:ascii="標楷體" w:eastAsia="標楷體" w:hAnsi="標楷體"/>
        </w:rPr>
      </w:pPr>
      <w:r w:rsidRPr="00F708A7">
        <w:rPr>
          <w:rFonts w:ascii="標楷體" w:eastAsia="標楷體" w:hAnsi="標楷體" w:hint="eastAsia"/>
        </w:rPr>
        <w:t>「</w:t>
      </w:r>
      <w:r w:rsidRPr="00F708A7">
        <w:rPr>
          <w:rFonts w:ascii="標楷體" w:eastAsia="標楷體" w:hAnsi="標楷體" w:hint="eastAsia"/>
          <w:b/>
        </w:rPr>
        <w:t>研</w:t>
      </w:r>
      <w:r w:rsidRPr="00F708A7">
        <w:rPr>
          <w:rFonts w:ascii="標楷體" w:eastAsia="標楷體" w:hAnsi="標楷體"/>
          <w:b/>
        </w:rPr>
        <w:t>究生生</w:t>
      </w:r>
      <w:r w:rsidRPr="00F708A7">
        <w:rPr>
          <w:rFonts w:ascii="標楷體" w:eastAsia="標楷體" w:hAnsi="標楷體" w:hint="eastAsia"/>
          <w:b/>
        </w:rPr>
        <w:t>線</w:t>
      </w:r>
      <w:r w:rsidRPr="00F708A7">
        <w:rPr>
          <w:rFonts w:ascii="標楷體" w:eastAsia="標楷體" w:hAnsi="標楷體"/>
          <w:b/>
        </w:rPr>
        <w:t>上英文</w:t>
      </w:r>
      <w:r w:rsidRPr="00F708A7">
        <w:rPr>
          <w:rFonts w:ascii="標楷體" w:eastAsia="標楷體" w:hAnsi="標楷體" w:hint="eastAsia"/>
          <w:b/>
        </w:rPr>
        <w:t>三</w:t>
      </w:r>
      <w:r w:rsidRPr="00F708A7">
        <w:rPr>
          <w:rFonts w:ascii="標楷體" w:eastAsia="標楷體" w:hAnsi="標楷體"/>
        </w:rPr>
        <w:t>」</w:t>
      </w:r>
      <w:r w:rsidRPr="00F708A7">
        <w:rPr>
          <w:rFonts w:ascii="標楷體" w:eastAsia="標楷體" w:hAnsi="標楷體" w:hint="eastAsia"/>
        </w:rPr>
        <w:t>：持下</w:t>
      </w:r>
      <w:r w:rsidRPr="00F708A7">
        <w:rPr>
          <w:rFonts w:ascii="標楷體" w:eastAsia="標楷體" w:hAnsi="標楷體"/>
        </w:rPr>
        <w:t>列英文</w:t>
      </w:r>
      <w:r w:rsidRPr="00F708A7">
        <w:rPr>
          <w:rFonts w:ascii="標楷體" w:eastAsia="標楷體" w:hAnsi="標楷體" w:hint="eastAsia"/>
        </w:rPr>
        <w:t>筆</w:t>
      </w:r>
      <w:r w:rsidRPr="00F708A7">
        <w:rPr>
          <w:rFonts w:ascii="標楷體" w:eastAsia="標楷體" w:hAnsi="標楷體"/>
        </w:rPr>
        <w:t>試</w:t>
      </w:r>
      <w:r w:rsidRPr="00F708A7">
        <w:rPr>
          <w:rFonts w:ascii="標楷體" w:eastAsia="標楷體" w:hAnsi="標楷體" w:hint="eastAsia"/>
        </w:rPr>
        <w:t>測驗二</w:t>
      </w:r>
      <w:r w:rsidRPr="00F708A7">
        <w:rPr>
          <w:rFonts w:ascii="標楷體" w:eastAsia="標楷體" w:hAnsi="標楷體"/>
        </w:rPr>
        <w:t>年內</w:t>
      </w:r>
      <w:r w:rsidRPr="00F708A7">
        <w:rPr>
          <w:rFonts w:ascii="標楷體" w:eastAsia="標楷體" w:hAnsi="標楷體" w:hint="eastAsia"/>
        </w:rPr>
        <w:t>成績</w:t>
      </w:r>
      <w:r w:rsidRPr="00F708A7">
        <w:rPr>
          <w:rFonts w:ascii="標楷體" w:eastAsia="標楷體" w:hAnsi="標楷體"/>
        </w:rPr>
        <w:t>單正本至</w:t>
      </w:r>
      <w:r w:rsidRPr="00F708A7">
        <w:rPr>
          <w:rFonts w:ascii="標楷體" w:eastAsia="標楷體" w:hAnsi="標楷體" w:hint="eastAsia"/>
        </w:rPr>
        <w:t>所</w:t>
      </w:r>
      <w:r w:rsidRPr="00F708A7">
        <w:rPr>
          <w:rFonts w:ascii="標楷體" w:eastAsia="標楷體" w:hAnsi="標楷體"/>
        </w:rPr>
        <w:t>辦公室</w:t>
      </w:r>
      <w:r w:rsidRPr="00F708A7">
        <w:rPr>
          <w:rFonts w:ascii="標楷體" w:eastAsia="標楷體" w:hAnsi="標楷體" w:hint="eastAsia"/>
        </w:rPr>
        <w:t>辦理</w:t>
      </w:r>
      <w:r w:rsidRPr="00F708A7">
        <w:rPr>
          <w:rFonts w:ascii="標楷體" w:eastAsia="標楷體" w:hAnsi="標楷體"/>
        </w:rPr>
        <w:t>認證，</w:t>
      </w:r>
      <w:r w:rsidRPr="00F708A7">
        <w:rPr>
          <w:rFonts w:ascii="標楷體" w:eastAsia="標楷體" w:hAnsi="標楷體" w:hint="eastAsia"/>
        </w:rPr>
        <w:t>認</w:t>
      </w:r>
      <w:r w:rsidRPr="00F708A7">
        <w:rPr>
          <w:rFonts w:ascii="標楷體" w:eastAsia="標楷體" w:hAnsi="標楷體"/>
        </w:rPr>
        <w:t>證通過者得免</w:t>
      </w:r>
      <w:r w:rsidRPr="00F708A7">
        <w:rPr>
          <w:rFonts w:ascii="標楷體" w:eastAsia="標楷體" w:hAnsi="標楷體" w:hint="eastAsia"/>
        </w:rPr>
        <w:t>修。</w:t>
      </w:r>
      <w:r w:rsidRPr="00F708A7">
        <w:rPr>
          <w:rFonts w:ascii="標楷體" w:eastAsia="標楷體" w:hAnsi="標楷體"/>
        </w:rPr>
        <w:t>(1)</w:t>
      </w:r>
      <w:r w:rsidRPr="00F708A7">
        <w:rPr>
          <w:rFonts w:ascii="標楷體" w:eastAsia="標楷體" w:hAnsi="標楷體" w:hint="eastAsia"/>
        </w:rPr>
        <w:t>多益800分、(2) IELTS 6級、(3) 劍橋大學中等英文認證(FCE)70分、(4)托福(TOEFL)IBT80分或CBT213分 。</w:t>
      </w:r>
    </w:p>
    <w:p w:rsidR="00BA4E45" w:rsidRPr="00030684" w:rsidRDefault="00BA4E45" w:rsidP="00BA4E45">
      <w:pPr>
        <w:pStyle w:val="a4"/>
        <w:widowControl/>
        <w:numPr>
          <w:ilvl w:val="0"/>
          <w:numId w:val="17"/>
        </w:numPr>
        <w:spacing w:beforeLines="20" w:before="72" w:afterLines="20" w:after="72" w:line="240" w:lineRule="exact"/>
        <w:ind w:leftChars="0" w:rightChars="117" w:right="281"/>
        <w:jc w:val="both"/>
        <w:rPr>
          <w:rFonts w:ascii="標楷體" w:eastAsia="標楷體" w:hAnsi="標楷體"/>
        </w:rPr>
      </w:pPr>
      <w:r w:rsidRPr="00F708A7">
        <w:rPr>
          <w:rFonts w:ascii="標楷體" w:eastAsia="標楷體" w:hAnsi="標楷體" w:hint="eastAsia"/>
        </w:rPr>
        <w:t>博</w:t>
      </w:r>
      <w:r w:rsidRPr="00030684">
        <w:rPr>
          <w:rFonts w:ascii="標楷體" w:eastAsia="標楷體" w:hAnsi="標楷體" w:hint="eastAsia"/>
        </w:rPr>
        <w:t>士生每學期選課上限為十二學分(不含第</w:t>
      </w:r>
      <w:r w:rsidRPr="00030684">
        <w:rPr>
          <w:rFonts w:ascii="標楷體" w:eastAsia="標楷體" w:hAnsi="標楷體"/>
        </w:rPr>
        <w:t>二外</w:t>
      </w:r>
      <w:r w:rsidRPr="00030684">
        <w:rPr>
          <w:rFonts w:ascii="標楷體" w:eastAsia="標楷體" w:hAnsi="標楷體" w:hint="eastAsia"/>
        </w:rPr>
        <w:t>文</w:t>
      </w:r>
      <w:r w:rsidRPr="00030684">
        <w:rPr>
          <w:rFonts w:ascii="標楷體" w:eastAsia="標楷體" w:hAnsi="標楷體"/>
        </w:rPr>
        <w:t>及</w:t>
      </w:r>
      <w:r w:rsidRPr="00030684">
        <w:rPr>
          <w:rFonts w:ascii="標楷體" w:eastAsia="標楷體" w:hAnsi="標楷體" w:hint="eastAsia"/>
        </w:rPr>
        <w:t>大學部課程)，若上一學期成績平均A (八十七分)以上者得修至十四學分。</w:t>
      </w:r>
    </w:p>
    <w:p w:rsidR="00BA4E45" w:rsidRPr="00030684" w:rsidRDefault="00BA4E45" w:rsidP="00BA4E45">
      <w:pPr>
        <w:pStyle w:val="a4"/>
        <w:widowControl/>
        <w:numPr>
          <w:ilvl w:val="0"/>
          <w:numId w:val="17"/>
        </w:numPr>
        <w:spacing w:beforeLines="20" w:before="72" w:afterLines="20" w:after="72" w:line="240" w:lineRule="exact"/>
        <w:ind w:leftChars="0" w:rightChars="117" w:right="281"/>
        <w:jc w:val="both"/>
        <w:rPr>
          <w:rFonts w:ascii="標楷體" w:eastAsia="標楷體" w:hAnsi="標楷體"/>
          <w:color w:val="000000" w:themeColor="text1"/>
        </w:rPr>
      </w:pPr>
      <w:r w:rsidRPr="00030684">
        <w:rPr>
          <w:rFonts w:ascii="標楷體" w:eastAsia="標楷體" w:hAnsi="標楷體" w:hint="eastAsia"/>
          <w:color w:val="000000" w:themeColor="text1"/>
        </w:rPr>
        <w:t>相同之課程名稱，僅於課名後面加上 (一)、(二)、(三)、(四)等序號，只能採計其中一門為畢業學分。</w:t>
      </w:r>
    </w:p>
    <w:p w:rsidR="00BA4E45" w:rsidRPr="00F708A7" w:rsidRDefault="00BA4E45" w:rsidP="00BA4E45">
      <w:pPr>
        <w:pStyle w:val="a4"/>
        <w:widowControl/>
        <w:numPr>
          <w:ilvl w:val="0"/>
          <w:numId w:val="17"/>
        </w:numPr>
        <w:spacing w:beforeLines="20" w:before="72" w:afterLines="20" w:after="72" w:line="240" w:lineRule="exact"/>
        <w:ind w:leftChars="0" w:rightChars="58" w:right="139"/>
        <w:jc w:val="both"/>
        <w:rPr>
          <w:rFonts w:ascii="標楷體" w:eastAsia="標楷體" w:hAnsi="標楷體"/>
        </w:rPr>
      </w:pPr>
      <w:r w:rsidRPr="00030684">
        <w:rPr>
          <w:rFonts w:ascii="標楷體" w:eastAsia="標楷體" w:hAnsi="標楷體" w:hint="eastAsia"/>
        </w:rPr>
        <w:t>大</w:t>
      </w:r>
      <w:r w:rsidRPr="00030684">
        <w:rPr>
          <w:rFonts w:ascii="標楷體" w:eastAsia="標楷體" w:hAnsi="標楷體"/>
        </w:rPr>
        <w:t>學部</w:t>
      </w:r>
      <w:r w:rsidRPr="00030684">
        <w:rPr>
          <w:rFonts w:ascii="標楷體" w:eastAsia="標楷體" w:hAnsi="標楷體" w:hint="eastAsia"/>
        </w:rPr>
        <w:t>課</w:t>
      </w:r>
      <w:r w:rsidRPr="00030684">
        <w:rPr>
          <w:rFonts w:ascii="標楷體" w:eastAsia="標楷體" w:hAnsi="標楷體"/>
        </w:rPr>
        <w:t>程不列入畢業學分</w:t>
      </w:r>
      <w:r w:rsidRPr="00030684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</w:t>
      </w:r>
    </w:p>
    <w:p w:rsidR="00110EC2" w:rsidRPr="00BA4E45" w:rsidRDefault="00110EC2" w:rsidP="00975589">
      <w:pPr>
        <w:widowControl/>
        <w:rPr>
          <w:rFonts w:ascii="標楷體" w:eastAsia="標楷體" w:hAnsi="標楷體" w:cs="Tahoma"/>
          <w:b/>
          <w:color w:val="000000" w:themeColor="text1"/>
          <w:kern w:val="0"/>
          <w:sz w:val="28"/>
          <w:szCs w:val="28"/>
        </w:rPr>
      </w:pPr>
    </w:p>
    <w:sectPr w:rsidR="00110EC2" w:rsidRPr="00BA4E45" w:rsidSect="006A44B4">
      <w:pgSz w:w="11906" w:h="16838" w:code="9"/>
      <w:pgMar w:top="851" w:right="991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ED" w:rsidRDefault="001504ED" w:rsidP="00F446AA">
      <w:r>
        <w:separator/>
      </w:r>
    </w:p>
  </w:endnote>
  <w:endnote w:type="continuationSeparator" w:id="0">
    <w:p w:rsidR="001504ED" w:rsidRDefault="001504ED" w:rsidP="00F4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ED" w:rsidRDefault="001504ED" w:rsidP="00F446AA">
      <w:r>
        <w:separator/>
      </w:r>
    </w:p>
  </w:footnote>
  <w:footnote w:type="continuationSeparator" w:id="0">
    <w:p w:rsidR="001504ED" w:rsidRDefault="001504ED" w:rsidP="00F4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9CA"/>
    <w:multiLevelType w:val="hybridMultilevel"/>
    <w:tmpl w:val="55C83E2E"/>
    <w:lvl w:ilvl="0" w:tplc="E7FC2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A67055"/>
    <w:multiLevelType w:val="hybridMultilevel"/>
    <w:tmpl w:val="2248726A"/>
    <w:lvl w:ilvl="0" w:tplc="75ACC878">
      <w:start w:val="3"/>
      <w:numFmt w:val="taiwaneseCountingThousand"/>
      <w:lvlText w:val="%1、"/>
      <w:lvlJc w:val="left"/>
      <w:pPr>
        <w:ind w:left="4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" w15:restartNumberingAfterBreak="0">
    <w:nsid w:val="2B470181"/>
    <w:multiLevelType w:val="hybridMultilevel"/>
    <w:tmpl w:val="E1CCD280"/>
    <w:lvl w:ilvl="0" w:tplc="2A1275DE">
      <w:start w:val="1"/>
      <w:numFmt w:val="decimal"/>
      <w:lvlText w:val="%1、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E2036A"/>
    <w:multiLevelType w:val="hybridMultilevel"/>
    <w:tmpl w:val="3F0AADBC"/>
    <w:lvl w:ilvl="0" w:tplc="0D00F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745ED3"/>
    <w:multiLevelType w:val="hybridMultilevel"/>
    <w:tmpl w:val="5350B73C"/>
    <w:lvl w:ilvl="0" w:tplc="FA32D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C07E79"/>
    <w:multiLevelType w:val="hybridMultilevel"/>
    <w:tmpl w:val="BB3C9C82"/>
    <w:lvl w:ilvl="0" w:tplc="58AE6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161483"/>
    <w:multiLevelType w:val="hybridMultilevel"/>
    <w:tmpl w:val="5882F126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" w15:restartNumberingAfterBreak="0">
    <w:nsid w:val="46917AD8"/>
    <w:multiLevelType w:val="hybridMultilevel"/>
    <w:tmpl w:val="4AF6199E"/>
    <w:lvl w:ilvl="0" w:tplc="293EB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95690D"/>
    <w:multiLevelType w:val="hybridMultilevel"/>
    <w:tmpl w:val="352A13DC"/>
    <w:lvl w:ilvl="0" w:tplc="BB58C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031941"/>
    <w:multiLevelType w:val="hybridMultilevel"/>
    <w:tmpl w:val="C3E47BD0"/>
    <w:lvl w:ilvl="0" w:tplc="577C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9F01256"/>
    <w:multiLevelType w:val="hybridMultilevel"/>
    <w:tmpl w:val="6B7627D0"/>
    <w:lvl w:ilvl="0" w:tplc="59D009C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5C44634E"/>
    <w:multiLevelType w:val="hybridMultilevel"/>
    <w:tmpl w:val="918E87BE"/>
    <w:lvl w:ilvl="0" w:tplc="EF50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B8259F"/>
    <w:multiLevelType w:val="hybridMultilevel"/>
    <w:tmpl w:val="FBF2F7E6"/>
    <w:lvl w:ilvl="0" w:tplc="F99A4398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3" w15:restartNumberingAfterBreak="0">
    <w:nsid w:val="676568F3"/>
    <w:multiLevelType w:val="hybridMultilevel"/>
    <w:tmpl w:val="2F46DA10"/>
    <w:lvl w:ilvl="0" w:tplc="A9F215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BD517C4"/>
    <w:multiLevelType w:val="hybridMultilevel"/>
    <w:tmpl w:val="BB846570"/>
    <w:lvl w:ilvl="0" w:tplc="B476B7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927804"/>
    <w:multiLevelType w:val="hybridMultilevel"/>
    <w:tmpl w:val="4294B7FC"/>
    <w:lvl w:ilvl="0" w:tplc="5202A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7B416A"/>
    <w:multiLevelType w:val="hybridMultilevel"/>
    <w:tmpl w:val="D52EFD24"/>
    <w:lvl w:ilvl="0" w:tplc="570A86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3"/>
  </w:num>
  <w:num w:numId="5">
    <w:abstractNumId w:val="3"/>
  </w:num>
  <w:num w:numId="6">
    <w:abstractNumId w:val="16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1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5F"/>
    <w:rsid w:val="0000680C"/>
    <w:rsid w:val="00010372"/>
    <w:rsid w:val="00010C8D"/>
    <w:rsid w:val="00024FC2"/>
    <w:rsid w:val="00035309"/>
    <w:rsid w:val="00036249"/>
    <w:rsid w:val="000626EB"/>
    <w:rsid w:val="000707B2"/>
    <w:rsid w:val="00077130"/>
    <w:rsid w:val="000A658D"/>
    <w:rsid w:val="000F1618"/>
    <w:rsid w:val="00110EC2"/>
    <w:rsid w:val="001504ED"/>
    <w:rsid w:val="00150FA8"/>
    <w:rsid w:val="00182187"/>
    <w:rsid w:val="00183C63"/>
    <w:rsid w:val="00191C31"/>
    <w:rsid w:val="001E64AA"/>
    <w:rsid w:val="001E65C0"/>
    <w:rsid w:val="001F680C"/>
    <w:rsid w:val="00232B1A"/>
    <w:rsid w:val="00253264"/>
    <w:rsid w:val="0025565E"/>
    <w:rsid w:val="002610ED"/>
    <w:rsid w:val="00262376"/>
    <w:rsid w:val="00263034"/>
    <w:rsid w:val="002914A9"/>
    <w:rsid w:val="002B3976"/>
    <w:rsid w:val="002C3A65"/>
    <w:rsid w:val="002E798B"/>
    <w:rsid w:val="00310180"/>
    <w:rsid w:val="003112C0"/>
    <w:rsid w:val="003226EA"/>
    <w:rsid w:val="003329C2"/>
    <w:rsid w:val="003360C7"/>
    <w:rsid w:val="00344765"/>
    <w:rsid w:val="00355B6F"/>
    <w:rsid w:val="00363A42"/>
    <w:rsid w:val="00381237"/>
    <w:rsid w:val="003955AF"/>
    <w:rsid w:val="0039690B"/>
    <w:rsid w:val="003A1C81"/>
    <w:rsid w:val="00407113"/>
    <w:rsid w:val="00420992"/>
    <w:rsid w:val="004217E3"/>
    <w:rsid w:val="00430FDE"/>
    <w:rsid w:val="00433762"/>
    <w:rsid w:val="004417E5"/>
    <w:rsid w:val="00441A68"/>
    <w:rsid w:val="004500BC"/>
    <w:rsid w:val="00461181"/>
    <w:rsid w:val="00467CC0"/>
    <w:rsid w:val="00472441"/>
    <w:rsid w:val="0049616D"/>
    <w:rsid w:val="004A1EDE"/>
    <w:rsid w:val="004B2B31"/>
    <w:rsid w:val="004D4F4B"/>
    <w:rsid w:val="004D5877"/>
    <w:rsid w:val="004F6A8C"/>
    <w:rsid w:val="005067D9"/>
    <w:rsid w:val="00511C9A"/>
    <w:rsid w:val="0054139A"/>
    <w:rsid w:val="00580706"/>
    <w:rsid w:val="00581932"/>
    <w:rsid w:val="00581AA4"/>
    <w:rsid w:val="005B01CA"/>
    <w:rsid w:val="005C2F74"/>
    <w:rsid w:val="005D1136"/>
    <w:rsid w:val="00614CBA"/>
    <w:rsid w:val="006632FE"/>
    <w:rsid w:val="00675E63"/>
    <w:rsid w:val="00676294"/>
    <w:rsid w:val="006A44B4"/>
    <w:rsid w:val="006C3A6D"/>
    <w:rsid w:val="006C6AFB"/>
    <w:rsid w:val="006E5E4D"/>
    <w:rsid w:val="007038E1"/>
    <w:rsid w:val="00720DEB"/>
    <w:rsid w:val="00753545"/>
    <w:rsid w:val="0075604C"/>
    <w:rsid w:val="00764C34"/>
    <w:rsid w:val="00774A5F"/>
    <w:rsid w:val="00776DF3"/>
    <w:rsid w:val="00782996"/>
    <w:rsid w:val="007E45FC"/>
    <w:rsid w:val="00827D00"/>
    <w:rsid w:val="00832541"/>
    <w:rsid w:val="0083319B"/>
    <w:rsid w:val="00835507"/>
    <w:rsid w:val="00840B12"/>
    <w:rsid w:val="008830FE"/>
    <w:rsid w:val="00896570"/>
    <w:rsid w:val="008A6452"/>
    <w:rsid w:val="008A6CE9"/>
    <w:rsid w:val="008A76B4"/>
    <w:rsid w:val="008E16B6"/>
    <w:rsid w:val="009010A7"/>
    <w:rsid w:val="009020AD"/>
    <w:rsid w:val="0094600A"/>
    <w:rsid w:val="0097311E"/>
    <w:rsid w:val="00975589"/>
    <w:rsid w:val="009774AC"/>
    <w:rsid w:val="00980269"/>
    <w:rsid w:val="009C5CC9"/>
    <w:rsid w:val="009E0ECD"/>
    <w:rsid w:val="009E108F"/>
    <w:rsid w:val="00A16937"/>
    <w:rsid w:val="00A212F0"/>
    <w:rsid w:val="00A449B9"/>
    <w:rsid w:val="00A7162B"/>
    <w:rsid w:val="00AB6C28"/>
    <w:rsid w:val="00AC6CFB"/>
    <w:rsid w:val="00AC7127"/>
    <w:rsid w:val="00B00D84"/>
    <w:rsid w:val="00B0378A"/>
    <w:rsid w:val="00B13E73"/>
    <w:rsid w:val="00B36B7C"/>
    <w:rsid w:val="00B376A6"/>
    <w:rsid w:val="00B66B82"/>
    <w:rsid w:val="00B802AB"/>
    <w:rsid w:val="00B819DB"/>
    <w:rsid w:val="00B94B14"/>
    <w:rsid w:val="00B964BC"/>
    <w:rsid w:val="00BA17C5"/>
    <w:rsid w:val="00BA19FD"/>
    <w:rsid w:val="00BA4E45"/>
    <w:rsid w:val="00BB2D31"/>
    <w:rsid w:val="00BB7547"/>
    <w:rsid w:val="00BC4E52"/>
    <w:rsid w:val="00BC704D"/>
    <w:rsid w:val="00BD5A89"/>
    <w:rsid w:val="00C05E85"/>
    <w:rsid w:val="00C16E3A"/>
    <w:rsid w:val="00C4562F"/>
    <w:rsid w:val="00C663C5"/>
    <w:rsid w:val="00C961F0"/>
    <w:rsid w:val="00C9693A"/>
    <w:rsid w:val="00CA0B20"/>
    <w:rsid w:val="00CA6063"/>
    <w:rsid w:val="00CD6A51"/>
    <w:rsid w:val="00CE564F"/>
    <w:rsid w:val="00CF501D"/>
    <w:rsid w:val="00D12000"/>
    <w:rsid w:val="00D64017"/>
    <w:rsid w:val="00D950EF"/>
    <w:rsid w:val="00DA019F"/>
    <w:rsid w:val="00DA5F55"/>
    <w:rsid w:val="00DB0BE1"/>
    <w:rsid w:val="00DC117F"/>
    <w:rsid w:val="00DC4DFF"/>
    <w:rsid w:val="00DD0FC7"/>
    <w:rsid w:val="00E05E54"/>
    <w:rsid w:val="00E2471A"/>
    <w:rsid w:val="00E24AF7"/>
    <w:rsid w:val="00E25399"/>
    <w:rsid w:val="00E3281C"/>
    <w:rsid w:val="00E43FCC"/>
    <w:rsid w:val="00E620AA"/>
    <w:rsid w:val="00E70C50"/>
    <w:rsid w:val="00E83143"/>
    <w:rsid w:val="00E97824"/>
    <w:rsid w:val="00EA167F"/>
    <w:rsid w:val="00EB282E"/>
    <w:rsid w:val="00EB6FB2"/>
    <w:rsid w:val="00EE5910"/>
    <w:rsid w:val="00F04C98"/>
    <w:rsid w:val="00F25369"/>
    <w:rsid w:val="00F446AA"/>
    <w:rsid w:val="00F70787"/>
    <w:rsid w:val="00F71BDF"/>
    <w:rsid w:val="00FA6209"/>
    <w:rsid w:val="00FF508D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E514A8-B52E-41D4-8FB4-81AC38EB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64C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List Paragraph"/>
    <w:basedOn w:val="a"/>
    <w:uiPriority w:val="34"/>
    <w:qFormat/>
    <w:rsid w:val="005819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44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46A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4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46A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7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79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0F16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30FF9-DD52-4A4B-9A3C-6FFAF63D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2019-06-19T04:45:00Z</cp:lastPrinted>
  <dcterms:created xsi:type="dcterms:W3CDTF">2022-11-22T07:23:00Z</dcterms:created>
  <dcterms:modified xsi:type="dcterms:W3CDTF">2022-11-22T07:23:00Z</dcterms:modified>
</cp:coreProperties>
</file>